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2" w:right="-285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DICHIARAZIONE SOSTITUTIVA DELL’ATTO DI NOTORIETA’ (EX ART. 47 DEL DPR N. 445/2000) RELATIVA ALL’ASSENZA DI CAUSE DI ESCLUSIONE DI CUI AGLI ARTT. 94 E 95 DEL D.LGS. N. 36/2023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58"/>
        </w:tabs>
        <w:spacing w:after="12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______________________________________ nato/a  a__________________________________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58"/>
        </w:tabs>
        <w:spacing w:after="12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______________________________residente a _________________________________ in via/Piazza _________________________________________ nella sua qualità di Legale appresentante dell’operatore economico  ____________con sede legale a ____________________________ in Via/Piazza ______________________________C.F./P.IVA n.  ___________________________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limitatamente al comma 1, lettera a) b) b-bis), c), d), e), f), g) e al comma 2 anche in nome e per conto dei soggetti indicati nell’art. 94, comma 3 del D. Lgs 36/2023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0" w:right="122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delle sanzioni penali previste dall’art. 76 del D.P.R. 28/12/2000, n. 445, nel caso di dichiarazioni mendaci, esibizione di atti falsi o contenenti dati non più corrispondenti al vero,</w:t>
      </w:r>
    </w:p>
    <w:p w:rsidR="00000000" w:rsidDel="00000000" w:rsidP="00000000" w:rsidRDefault="00000000" w:rsidRPr="00000000" w14:paraId="00000008">
      <w:pPr>
        <w:spacing w:before="129" w:lineRule="auto"/>
        <w:ind w:left="2916" w:right="2921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32" w:lineRule="auto"/>
        <w:ind w:left="426" w:right="118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l’inesistenza delle cause di esclusione automatica dalla partecipazione ad una procedura d’appalto o concessione elencate nell’art. 94 del D. Lgs. n. 36/2023, analogicamente applicato ad altre procedure di convenzione per realizzazione di progetti, per le finalità richiamate, ed in quanto compatibile,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in particolare: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2"/>
        </w:tabs>
        <w:spacing w:after="0" w:before="0" w:line="240" w:lineRule="auto"/>
        <w:ind w:left="426" w:right="11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 comma 1,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che nei propri confronti e nei confronti dei soggetti sopra indicati non è stata pronunciata sentenza definitiva di condanna o emesso decreto penale di condanna divenuto irrevocabile per uno dei seguenti reati: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12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119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delitti, consumati o tentati, di cui agli articoli 317, 318, 319, 319-ter, 319-quater, 320, 321, 322, 322bis, 346- bis, 353, 353-bis, 354, 355 e 356 del codice penale nonché all’articolo 2635 del codice civile;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" w:lineRule="auto"/>
        <w:ind w:left="851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false comunicazioni sociali di cui agli articoli 2621 e 2622 del codice civile;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9"/>
        </w:tabs>
        <w:spacing w:after="0" w:before="0" w:line="231" w:lineRule="auto"/>
        <w:ind w:left="851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frode ai sensi dell’articolo 1 della convenzione relativa alla tutela degli interessi finanziari delle Comunità europee;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9"/>
        </w:tabs>
        <w:spacing w:after="0" w:before="0" w:line="240" w:lineRule="auto"/>
        <w:ind w:left="851" w:right="118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delitti, consumati o tentati, commessi con finalità di terrorismo, anche internazionale, e di eversione dell’ordine costituzionale reati terroristici o reati connessi alle attività terroristiche;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9"/>
        </w:tabs>
        <w:spacing w:after="0" w:before="1" w:line="240" w:lineRule="auto"/>
        <w:ind w:left="851" w:right="119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9"/>
        </w:tabs>
        <w:spacing w:after="0" w:before="0" w:line="231" w:lineRule="auto"/>
        <w:ind w:left="851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sfruttamento del lavoro minorile e altre forme di tratta di esseri umani definite con il decreto legislativo 4 marzo 2014, n. 24;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9"/>
        </w:tabs>
        <w:spacing w:after="0" w:before="0" w:line="231" w:lineRule="auto"/>
        <w:ind w:left="851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ogni altro delitto da cui derivi, quale pena accessoria, l’incapacità di contrattare con la pubblica amministrazione.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9"/>
        </w:tabs>
        <w:spacing w:after="0" w:before="0" w:line="240" w:lineRule="auto"/>
        <w:ind w:left="720" w:right="118" w:hanging="5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 comma 2,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che nei propri confronti e nei confronti dei soggetti indicati nell’art. 94, comma 3 del D. Lgs 36/2023 (specificati nella nota 1) non sussistono ragioni di decadenza, sospensione o divieto previste dall’articolo 67 del decreto legislativo 6 settembre 2011, n. 159 o di un tentativo di infiltrazione mafiosa di cui all’articolo 84, comma 4, del medesimo decreto;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9"/>
        </w:tabs>
        <w:spacing w:after="0" w:before="0" w:line="240" w:lineRule="auto"/>
        <w:ind w:left="720" w:right="118" w:hanging="5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dei commi 5 e 6,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118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destinatario della sanzione interdittiva di cui all’art. 9, comma 2, lett. c), del D.Lgs. n. 231/2001, o di altra sanzione che comporta il divieto di contrarre con la pubblica amministrazione, compresi i provvedimenti interdittivi di cui all’art. 14 del D.Lgs. n. 81/2008;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118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che, ai sensi dell’art. 17 della legge 12.03.1999, n. 68: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Barrare la casella di interesse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3"/>
          <w:tab w:val="left" w:leader="none" w:pos="764"/>
        </w:tabs>
        <w:spacing w:after="0" w:before="79" w:line="216" w:lineRule="auto"/>
        <w:ind w:left="1134" w:right="140" w:hanging="2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Soggetto proponente è in regola con le norme che disciplinano il diritto al lavoro dei disabili poiché ha ottemperato alle disposizioni contenute nella Legge 68/99 o ______________ (indicare la Legge Stato estero). Gli adempimenti sono stati eseguiti presso l’Ufficio _____________di _________________ Via</w:t>
        <w:tab/>
        <w:t xml:space="preserve">_____________________ Mail/Pec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18" w:lineRule="auto"/>
        <w:ind w:left="1276" w:right="262" w:hanging="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Soggetto proponente non è soggetto agli obblighi di assunzione obbligatoria previsti dalla Legge 68/99 per i seguenti motivi: [indicare i motivi di esenzione]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25"/>
        </w:tabs>
        <w:spacing w:after="0" w:before="101" w:line="240" w:lineRule="auto"/>
        <w:ind w:left="1276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(Stato estero) non esiste una normativa sull’assunzione obbligatoria dei disabili;</w:t>
      </w:r>
    </w:p>
    <w:p w:rsidR="00000000" w:rsidDel="00000000" w:rsidP="00000000" w:rsidRDefault="00000000" w:rsidRPr="00000000" w14:paraId="0000001A">
      <w:pPr>
        <w:tabs>
          <w:tab w:val="left" w:leader="none" w:pos="763"/>
          <w:tab w:val="left" w:leader="none" w:pos="764"/>
        </w:tabs>
        <w:spacing w:before="79" w:line="216" w:lineRule="auto"/>
        <w:ind w:right="1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9"/>
        </w:tabs>
        <w:spacing w:after="0" w:before="0" w:line="240" w:lineRule="auto"/>
        <w:ind w:left="720" w:right="11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trovarsi in stato di liquidazione giudiziale, di liquidazione coatta, di concordato preventivo, salvo il caso di concordato con continuità aziendale, o nei cui riguardi non è in corso un procedimento per la dichiarazione di una di tali situazioni, fermo restando quanto previsto dall’articolo 124 del D. Lgs. n. 36/2023, ovvero che sono stati adottati i provvedimenti di cui all’art. 182-bis c. 4 del Regio Decreto 267 del 1942 a all’art. 95 cc. 3 e 4 del D.Lgs. 14 del 2019;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2"/>
        </w:tabs>
        <w:spacing w:after="0" w:before="0" w:line="242" w:lineRule="auto"/>
        <w:ind w:left="720" w:right="12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iscritto nel casellario informatico tenuto dall’Osservatorio dell’ANAC per aver presentato false dichiarazioni o falsa documentazione nelle procedure di gara e negli affidamenti di subappalti;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7"/>
        </w:tabs>
        <w:spacing w:after="0" w:before="0" w:line="242" w:lineRule="auto"/>
        <w:ind w:left="720" w:right="11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7"/>
        </w:tabs>
        <w:spacing w:after="0" w:before="0" w:line="242" w:lineRule="auto"/>
        <w:ind w:left="720" w:right="11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di non aver commesso violazioni gravi, DEFINITIVAMENTE ACCERTATE, rispetto agli obblighi relativi al pagamento delle imposte e tasse o dei contributi previdenziali, secondo la legislazione italiana o quella dello Stato in cui sono stabiliti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indica all’uopo i seguenti dati: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1134" w:right="262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Ufficio Locale dell’Agenzia delle Entrate competente:</w:t>
      </w:r>
    </w:p>
    <w:p w:rsidR="00000000" w:rsidDel="00000000" w:rsidP="00000000" w:rsidRDefault="00000000" w:rsidRPr="00000000" w14:paraId="00000020">
      <w:pPr>
        <w:tabs>
          <w:tab w:val="left" w:leader="none" w:pos="763"/>
          <w:tab w:val="left" w:leader="none" w:pos="764"/>
        </w:tabs>
        <w:spacing w:before="116" w:lineRule="auto"/>
        <w:ind w:left="709" w:right="26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Indirizzo__________________________________________________________</w:t>
      </w:r>
    </w:p>
    <w:p w:rsidR="00000000" w:rsidDel="00000000" w:rsidP="00000000" w:rsidRDefault="00000000" w:rsidRPr="00000000" w14:paraId="00000021">
      <w:pPr>
        <w:tabs>
          <w:tab w:val="left" w:leader="none" w:pos="763"/>
          <w:tab w:val="left" w:leader="none" w:pos="764"/>
        </w:tabs>
        <w:spacing w:before="116" w:lineRule="auto"/>
        <w:ind w:left="709" w:right="26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N. telefono __________________________________________________________</w:t>
      </w:r>
    </w:p>
    <w:p w:rsidR="00000000" w:rsidDel="00000000" w:rsidP="00000000" w:rsidRDefault="00000000" w:rsidRPr="00000000" w14:paraId="00000022">
      <w:pPr>
        <w:tabs>
          <w:tab w:val="left" w:leader="none" w:pos="763"/>
          <w:tab w:val="left" w:leader="none" w:pos="764"/>
        </w:tabs>
        <w:spacing w:before="116" w:lineRule="auto"/>
        <w:ind w:left="709" w:right="26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Pec_______________________________________ mail 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3"/>
          <w:tab w:val="left" w:leader="none" w:pos="764"/>
        </w:tabs>
        <w:spacing w:after="0" w:before="116" w:line="240" w:lineRule="auto"/>
        <w:ind w:left="1134" w:right="262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Informazioni ai fini delle verifiche sulla regolarità contributiva e previdenziale di soci e dipendenti </w:t>
      </w:r>
    </w:p>
    <w:p w:rsidR="00000000" w:rsidDel="00000000" w:rsidP="00000000" w:rsidRDefault="00000000" w:rsidRPr="00000000" w14:paraId="00000024">
      <w:pPr>
        <w:tabs>
          <w:tab w:val="left" w:leader="none" w:pos="763"/>
          <w:tab w:val="left" w:leader="none" w:pos="764"/>
        </w:tabs>
        <w:spacing w:before="116" w:lineRule="auto"/>
        <w:ind w:left="567" w:right="26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Pos. assicurativa INAIL: COD. IDENTIFIC. ______________________ SEDE COMPETENTE ____________________</w:t>
      </w:r>
    </w:p>
    <w:p w:rsidR="00000000" w:rsidDel="00000000" w:rsidP="00000000" w:rsidRDefault="00000000" w:rsidRPr="00000000" w14:paraId="00000025">
      <w:pPr>
        <w:tabs>
          <w:tab w:val="left" w:leader="none" w:pos="763"/>
          <w:tab w:val="left" w:leader="none" w:pos="764"/>
        </w:tabs>
        <w:spacing w:before="116" w:lineRule="auto"/>
        <w:ind w:left="567" w:right="26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Pos. assicurativa INPS: COD. IDENTIFIC. ______________________ SEDE COMPETENTE _____________________</w:t>
      </w:r>
    </w:p>
    <w:p w:rsidR="00000000" w:rsidDel="00000000" w:rsidP="00000000" w:rsidRDefault="00000000" w:rsidRPr="00000000" w14:paraId="00000026">
      <w:pPr>
        <w:tabs>
          <w:tab w:val="left" w:leader="none" w:pos="763"/>
          <w:tab w:val="left" w:leader="none" w:pos="764"/>
        </w:tabs>
        <w:spacing w:before="116" w:lineRule="auto"/>
        <w:ind w:left="567" w:right="26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Ovvero</w:t>
      </w:r>
    </w:p>
    <w:p w:rsidR="00000000" w:rsidDel="00000000" w:rsidP="00000000" w:rsidRDefault="00000000" w:rsidRPr="00000000" w14:paraId="00000027">
      <w:pPr>
        <w:tabs>
          <w:tab w:val="left" w:leader="none" w:pos="763"/>
          <w:tab w:val="left" w:leader="none" w:pos="764"/>
        </w:tabs>
        <w:spacing w:before="116" w:lineRule="auto"/>
        <w:ind w:left="567" w:right="26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Iscrizione ad altra cassa previdenziale: __________________________ COD. IDENTIFIC. _____________________ Indirizzo ______________________________________</w:t>
      </w:r>
    </w:p>
    <w:p w:rsidR="00000000" w:rsidDel="00000000" w:rsidP="00000000" w:rsidRDefault="00000000" w:rsidRPr="00000000" w14:paraId="00000028">
      <w:pPr>
        <w:tabs>
          <w:tab w:val="left" w:leader="none" w:pos="479"/>
        </w:tabs>
        <w:ind w:right="11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479"/>
        </w:tabs>
        <w:ind w:right="11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9" w:lineRule="auto"/>
        <w:ind w:left="2916" w:right="2921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DICHIARA altresì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764"/>
        </w:tabs>
        <w:spacing w:after="0" w:before="104" w:line="232" w:lineRule="auto"/>
        <w:ind w:left="763" w:right="118" w:hanging="44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NON incorrere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nelle cause di esclusione non automatica previste dall’art. 95 del D.lgs 36/2023, e in particolare dichiara:</w:t>
      </w:r>
    </w:p>
    <w:p w:rsidR="00000000" w:rsidDel="00000000" w:rsidP="00000000" w:rsidRDefault="00000000" w:rsidRPr="00000000" w14:paraId="0000002C">
      <w:pPr>
        <w:tabs>
          <w:tab w:val="left" w:leader="none" w:pos="479"/>
        </w:tabs>
        <w:ind w:right="11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2"/>
        </w:tabs>
        <w:spacing w:after="0" w:before="0" w:line="240" w:lineRule="auto"/>
        <w:ind w:left="1134" w:right="11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 commesso gravi infrazioni debitamente accertate in relazione alle norme in materia di salute e sicurezza sul lavoro nonché agli obblighi in materia ambientale, sociale e del lavoro, stabiliti dalla normativa europea e nazionale, dai contratti collettivi o dalle disposizioni internazionali elencate nell’Allegato X alla direttiva 2014/24/UE del Parlamento europeo e del Consiglio del 26 febbraio 2014;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2"/>
        </w:tabs>
        <w:spacing w:after="0" w:before="0" w:line="240" w:lineRule="auto"/>
        <w:ind w:left="1134" w:right="11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la propria partecipazione non determina una situazione di conflitto di interesse di cui all’art. 16 del D.Lgs. n. 36/2023, non diversamente risolvibile;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9"/>
        </w:tabs>
        <w:spacing w:after="0" w:before="0" w:line="242" w:lineRule="auto"/>
        <w:ind w:left="1134" w:right="12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la propria partecipazione non determina una distorsione della concorrenza derivante dal proprio precedente coinvolgimento nella preparazione della procedura di cui all’articolo 78 del D. Lgs. n. 36/2023 che non possa essere risolta con misure meno intrusive;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3"/>
        </w:tabs>
        <w:spacing w:after="0" w:before="0" w:line="240" w:lineRule="auto"/>
        <w:ind w:left="11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trovarsi in una delle seguenti fattispecie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Barrare solo la casella di interesse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04" w:line="232" w:lineRule="auto"/>
        <w:ind w:left="1560" w:right="118" w:hanging="4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il Soggetto proponente non si trova in alcuna situazione di controllo di cui all'articolo 2359 del codice civile o in una qualsiasi relazione, anche di fatto con alcun soggetto, e di aver formulato autonomamente la candidatura.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" w:lineRule="auto"/>
        <w:ind w:left="27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Ovvero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04" w:line="232" w:lineRule="auto"/>
        <w:ind w:left="1560" w:right="118" w:hanging="4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il Soggetto proponente si trova in una situazione di controllo di cui all'articolo 2359 del codice civile o di una qualsiasi relazione, anche di fatto con altro soggetto (indicare tali soggetti)_______________________________________________________________________________________________________________________________________________________________, e di aver formulato autonomamente la candidatura.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2"/>
        </w:tabs>
        <w:spacing w:after="0" w:before="0" w:line="240" w:lineRule="auto"/>
        <w:ind w:left="1276" w:right="11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il soggetto proponente non si è reso colpevole di gravi illeciti professionali, tali da rendere dubbia la sua integrità o affidabilità né ricorre nelle altre fattispecie di cui all'art. 98 del D.Lgs. n. 36/2023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2"/>
        </w:tabs>
        <w:spacing w:after="0" w:before="0" w:line="240" w:lineRule="auto"/>
        <w:ind w:left="1276" w:right="11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 commesso gravi violazioni NON DEFINITIVAMENTE accertate agli obblighi relativi al pagamento di imposte e tasse o contributi previdenziali.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63"/>
          <w:tab w:val="left" w:leader="none" w:pos="764"/>
        </w:tabs>
        <w:spacing w:before="116" w:lineRule="auto"/>
        <w:ind w:left="322" w:right="262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OPPURE DICHIARA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764"/>
        </w:tabs>
        <w:spacing w:after="0" w:before="104" w:line="232" w:lineRule="auto"/>
        <w:ind w:left="426" w:right="118" w:hanging="14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incorrere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nelle seguenti cause di esclusione non automatica previste dall’art. 95 del D.lgs 36/2023 (SPECIFICARE QUALI TRA QUELLE SOPRAELENCATE ai sensi dell’art. 95 D.Lgs. n. 36/2023)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764"/>
        </w:tabs>
        <w:spacing w:after="0" w:before="104" w:line="240" w:lineRule="auto"/>
        <w:ind w:left="786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764"/>
        </w:tabs>
        <w:spacing w:after="0" w:before="104" w:line="240" w:lineRule="auto"/>
        <w:ind w:left="786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764"/>
        </w:tabs>
        <w:spacing w:after="0" w:before="104" w:line="240" w:lineRule="auto"/>
        <w:ind w:left="786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B">
      <w:pPr>
        <w:tabs>
          <w:tab w:val="left" w:leader="none" w:pos="763"/>
          <w:tab w:val="left" w:leader="none" w:pos="764"/>
        </w:tabs>
        <w:spacing w:before="116" w:lineRule="auto"/>
        <w:ind w:left="322" w:right="26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764"/>
        </w:tabs>
        <w:spacing w:before="104" w:line="232" w:lineRule="auto"/>
        <w:ind w:right="263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 INOLTRE</w:t>
      </w:r>
    </w:p>
    <w:p w:rsidR="00000000" w:rsidDel="00000000" w:rsidP="00000000" w:rsidRDefault="00000000" w:rsidRPr="00000000" w14:paraId="0000003D">
      <w:pPr>
        <w:tabs>
          <w:tab w:val="left" w:leader="none" w:pos="764"/>
        </w:tabs>
        <w:spacing w:before="104" w:line="232" w:lineRule="auto"/>
        <w:ind w:right="263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3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 impegnarsi ad ottemperare agli obblighi sulla tracciabilità dei flussi finanziari di cui all’art. 3 della Legge n. 136/2010 e s.m.i., pena la nullità del contratto;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3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3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che il “conto corrente dedicato”, ai sensi dell’art. 3, comma 7, della Legge n. 136/2010 e s.m.i., valevole, fino a diversa comunicazione, per tutti i rapporti contrattuali presenti e futuri instaurati con il GSSI è il seguente:</w:t>
      </w:r>
    </w:p>
    <w:p w:rsidR="00000000" w:rsidDel="00000000" w:rsidP="00000000" w:rsidRDefault="00000000" w:rsidRPr="00000000" w14:paraId="00000041">
      <w:pPr>
        <w:spacing w:after="120" w:lineRule="auto"/>
        <w:ind w:left="70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Banca/Posta ………………………….……………...…. Agenzia ………………………………………...……..</w:t>
      </w:r>
    </w:p>
    <w:p w:rsidR="00000000" w:rsidDel="00000000" w:rsidP="00000000" w:rsidRDefault="00000000" w:rsidRPr="00000000" w14:paraId="00000042">
      <w:pPr>
        <w:spacing w:after="120" w:lineRule="auto"/>
        <w:ind w:firstLine="70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IBAN ……………………….………………………………………………………………………………..……</w:t>
      </w:r>
    </w:p>
    <w:p w:rsidR="00000000" w:rsidDel="00000000" w:rsidP="00000000" w:rsidRDefault="00000000" w:rsidRPr="00000000" w14:paraId="00000043">
      <w:pPr>
        <w:spacing w:after="120" w:lineRule="auto"/>
        <w:ind w:firstLine="70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soggetti delegati ad operare sul conto corrente sopra menzionato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120" w:lineRule="auto"/>
        <w:ind w:left="995" w:hanging="29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Sig/Sig.ra ………………………..……………</w:t>
        <w:tab/>
        <w:t xml:space="preserve">nato/a a ……………...…..….……. il ……./……/………</w:t>
      </w:r>
    </w:p>
    <w:p w:rsidR="00000000" w:rsidDel="00000000" w:rsidP="00000000" w:rsidRDefault="00000000" w:rsidRPr="00000000" w14:paraId="00000045">
      <w:pPr>
        <w:spacing w:after="120" w:lineRule="auto"/>
        <w:ind w:left="96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Codice Fiscale ………………..……………….</w:t>
        <w:tab/>
        <w:t xml:space="preserve">residente in ……………...…….…..…………………..….</w:t>
      </w:r>
    </w:p>
    <w:p w:rsidR="00000000" w:rsidDel="00000000" w:rsidP="00000000" w:rsidRDefault="00000000" w:rsidRPr="00000000" w14:paraId="00000046">
      <w:pPr>
        <w:spacing w:after="120" w:lineRule="auto"/>
        <w:ind w:left="96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Via …………………………………………….</w:t>
        <w:tab/>
        <w:t xml:space="preserve">in qualità di ……………………..…………...………..….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after="120" w:lineRule="auto"/>
        <w:ind w:left="995" w:hanging="29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Sig/Sig.ra ………………….………………….</w:t>
        <w:tab/>
        <w:t xml:space="preserve">nato/a a ……………....…..………. il ……./……/………</w:t>
      </w:r>
    </w:p>
    <w:p w:rsidR="00000000" w:rsidDel="00000000" w:rsidP="00000000" w:rsidRDefault="00000000" w:rsidRPr="00000000" w14:paraId="00000048">
      <w:pPr>
        <w:tabs>
          <w:tab w:val="left" w:leader="none" w:pos="4536"/>
        </w:tabs>
        <w:spacing w:after="120" w:lineRule="auto"/>
        <w:ind w:left="96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Codice Fiscale ………………..……………….</w:t>
        <w:tab/>
        <w:t xml:space="preserve">residente in ……………...….……..…………………..….</w:t>
      </w:r>
    </w:p>
    <w:p w:rsidR="00000000" w:rsidDel="00000000" w:rsidP="00000000" w:rsidRDefault="00000000" w:rsidRPr="00000000" w14:paraId="00000049">
      <w:pPr>
        <w:tabs>
          <w:tab w:val="left" w:leader="none" w:pos="4536"/>
        </w:tabs>
        <w:spacing w:after="120" w:lineRule="auto"/>
        <w:ind w:left="96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Via …………………………………………….</w:t>
        <w:tab/>
        <w:t xml:space="preserve">in qualità di ……………………..…………...………..….</w:t>
      </w:r>
    </w:p>
    <w:p w:rsidR="00000000" w:rsidDel="00000000" w:rsidP="00000000" w:rsidRDefault="00000000" w:rsidRPr="00000000" w14:paraId="0000004A">
      <w:pPr>
        <w:tabs>
          <w:tab w:val="left" w:leader="none" w:pos="4253"/>
        </w:tabs>
        <w:spacing w:after="120" w:lineRule="auto"/>
        <w:ind w:left="624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ovvero</w:t>
      </w:r>
    </w:p>
    <w:p w:rsidR="00000000" w:rsidDel="00000000" w:rsidP="00000000" w:rsidRDefault="00000000" w:rsidRPr="00000000" w14:paraId="0000004B">
      <w:pPr>
        <w:tabs>
          <w:tab w:val="left" w:leader="none" w:pos="4253"/>
        </w:tabs>
        <w:spacing w:after="120" w:lineRule="auto"/>
        <w:ind w:left="697" w:hanging="271"/>
        <w:jc w:val="both"/>
        <w:rPr>
          <w:rFonts w:ascii="Times New Roman" w:cs="Times New Roman" w:eastAsia="Times New Roman" w:hAnsi="Times New Roman"/>
          <w:sz w:val="20"/>
          <w:szCs w:val="20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che il “conto corrente dedicato”, ai sensi dell’art. 3, comma 7, della Legge n. 136/2010 e s.m.i., sarà attivato e comunicato al GSSI entro e non oltre 7 giorni dall’accensione, unitamente alle generalità e al Codice Fiscale delle persone delegate ad operare su di esso.</w:t>
      </w:r>
    </w:p>
    <w:p w:rsidR="00000000" w:rsidDel="00000000" w:rsidP="00000000" w:rsidRDefault="00000000" w:rsidRPr="00000000" w14:paraId="0000004C">
      <w:pPr>
        <w:tabs>
          <w:tab w:val="left" w:leader="none" w:pos="284"/>
          <w:tab w:val="left" w:leader="none" w:pos="764"/>
        </w:tabs>
        <w:spacing w:before="104" w:lineRule="auto"/>
        <w:ind w:right="11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 ………………….</w:t>
        <w:tab/>
        <w:tab/>
        <w:tab/>
        <w:tab/>
        <w:t xml:space="preserve">     </w:t>
        <w:tab/>
        <w:t xml:space="preserve">Firma digitale………………………………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ind w:left="198" w:hanging="198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Nel caso di Procuratore del Legale Rappresentante, allegare copia conforme all’originale della Procura.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shd w:fill="e6e6e6" w:val="clear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dati personali acquisiti dal GSSI (titolare del trattamento) saranno trattati secondo i dettami del Regolamento UE 2016/679 di cui il D.Lgs. n. 101/2018, esclusivamente per le finalità dovute per legge nell'ambito degli affidamenti pubblici.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764"/>
        </w:tabs>
        <w:spacing w:after="0" w:before="104" w:line="232" w:lineRule="auto"/>
        <w:ind w:left="786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spacing w:before="37" w:line="242" w:lineRule="auto"/>
        <w:ind w:left="135" w:right="108" w:firstLine="6.999999999999993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 soggetti di cui all’art. 94, comma 3, sono i seguenti: il titolare e direttore tecnico, se si tratta di impresa individuale; un socio o il direttore tecnico, se si tratta di società in nome collettivo; i soci accomandatari o il direttore tecnico, se si tratta di società in accomandita semplice; i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il socio unico persona fisica, ovvero il socio di maggioranza in caso di società con meno di quattro soci, se si tratta di altro tipo di società o consorzio.</w:t>
      </w:r>
    </w:p>
  </w:footnote>
  <w:footnote w:id="1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6"/>
        </w:tabs>
        <w:spacing w:after="0" w:before="37" w:line="240" w:lineRule="auto"/>
        <w:ind w:left="125" w:right="1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Ai sensi dell’art. 94, comma 6, del D. Lgs. n. 36/2023,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 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56">
      <w:pPr>
        <w:tabs>
          <w:tab w:val="left" w:leader="none" w:pos="270"/>
        </w:tabs>
        <w:ind w:left="142" w:hanging="142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L'art. 98, comma 3, prevede tra le cause di esclusione: lettera b "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selezione; lettera c “l'operatore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stessa".</w:t>
      </w:r>
    </w:p>
  </w:footnote>
  <w:footnote w:id="3"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Ai sensi dell’art. 95 comma 2 del D.Lgs. n. 36/2023 “Costituiscono gravi violazioni non definitivamente accertate in materia fiscale quelle indicate nell’All. II.10” al D.Lgs. n. 36/2023.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401" w:hanging="284"/>
      </w:pPr>
      <w:rPr>
        <w:sz w:val="19"/>
        <w:szCs w:val="19"/>
      </w:rPr>
    </w:lvl>
    <w:lvl w:ilvl="1">
      <w:start w:val="0"/>
      <w:numFmt w:val="bullet"/>
      <w:lvlText w:val="☐"/>
      <w:lvlJc w:val="left"/>
      <w:pPr>
        <w:ind w:left="1047" w:hanging="442"/>
      </w:pPr>
      <w:rPr>
        <w:rFonts w:ascii="Quattrocento Sans" w:cs="Quattrocento Sans" w:eastAsia="Quattrocento Sans" w:hAnsi="Quattrocento Sans"/>
        <w:color w:val="000009"/>
        <w:sz w:val="18"/>
        <w:szCs w:val="18"/>
        <w:vertAlign w:val="baseline"/>
      </w:rPr>
    </w:lvl>
    <w:lvl w:ilvl="2">
      <w:start w:val="0"/>
      <w:numFmt w:val="bullet"/>
      <w:lvlText w:val="•"/>
      <w:lvlJc w:val="left"/>
      <w:pPr>
        <w:ind w:left="1040" w:hanging="442"/>
      </w:pPr>
      <w:rPr/>
    </w:lvl>
    <w:lvl w:ilvl="3">
      <w:start w:val="0"/>
      <w:numFmt w:val="bullet"/>
      <w:lvlText w:val="•"/>
      <w:lvlJc w:val="left"/>
      <w:pPr>
        <w:ind w:left="2197" w:hanging="442"/>
      </w:pPr>
      <w:rPr/>
    </w:lvl>
    <w:lvl w:ilvl="4">
      <w:start w:val="0"/>
      <w:numFmt w:val="bullet"/>
      <w:lvlText w:val="•"/>
      <w:lvlJc w:val="left"/>
      <w:pPr>
        <w:ind w:left="3355" w:hanging="442"/>
      </w:pPr>
      <w:rPr/>
    </w:lvl>
    <w:lvl w:ilvl="5">
      <w:start w:val="0"/>
      <w:numFmt w:val="bullet"/>
      <w:lvlText w:val="•"/>
      <w:lvlJc w:val="left"/>
      <w:pPr>
        <w:ind w:left="4512" w:hanging="442"/>
      </w:pPr>
      <w:rPr/>
    </w:lvl>
    <w:lvl w:ilvl="6">
      <w:start w:val="0"/>
      <w:numFmt w:val="bullet"/>
      <w:lvlText w:val="•"/>
      <w:lvlJc w:val="left"/>
      <w:pPr>
        <w:ind w:left="5670" w:hanging="442"/>
      </w:pPr>
      <w:rPr/>
    </w:lvl>
    <w:lvl w:ilvl="7">
      <w:start w:val="0"/>
      <w:numFmt w:val="bullet"/>
      <w:lvlText w:val="•"/>
      <w:lvlJc w:val="left"/>
      <w:pPr>
        <w:ind w:left="6827" w:hanging="442"/>
      </w:pPr>
      <w:rPr/>
    </w:lvl>
    <w:lvl w:ilvl="8">
      <w:start w:val="0"/>
      <w:numFmt w:val="bullet"/>
      <w:lvlText w:val="•"/>
      <w:lvlJc w:val="left"/>
      <w:pPr>
        <w:ind w:left="7985" w:hanging="442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01" w:hanging="284"/>
      </w:pPr>
      <w:rPr>
        <w:rFonts w:ascii="Calibri" w:cs="Calibri" w:eastAsia="Calibri" w:hAnsi="Calibri"/>
        <w:sz w:val="19"/>
        <w:szCs w:val="19"/>
      </w:rPr>
    </w:lvl>
    <w:lvl w:ilvl="1">
      <w:start w:val="1"/>
      <w:numFmt w:val="lowerLetter"/>
      <w:lvlText w:val="%2."/>
      <w:lvlJc w:val="left"/>
      <w:pPr>
        <w:ind w:left="401" w:hanging="284"/>
      </w:pPr>
      <w:rPr/>
    </w:lvl>
    <w:lvl w:ilvl="2">
      <w:start w:val="0"/>
      <w:numFmt w:val="bullet"/>
      <w:lvlText w:val="•"/>
      <w:lvlJc w:val="left"/>
      <w:pPr>
        <w:ind w:left="2840" w:hanging="284"/>
      </w:pPr>
      <w:rPr/>
    </w:lvl>
    <w:lvl w:ilvl="3">
      <w:start w:val="0"/>
      <w:numFmt w:val="bullet"/>
      <w:lvlText w:val="•"/>
      <w:lvlJc w:val="left"/>
      <w:pPr>
        <w:ind w:left="3772" w:hanging="284"/>
      </w:pPr>
      <w:rPr/>
    </w:lvl>
    <w:lvl w:ilvl="4">
      <w:start w:val="0"/>
      <w:numFmt w:val="bullet"/>
      <w:lvlText w:val="•"/>
      <w:lvlJc w:val="left"/>
      <w:pPr>
        <w:ind w:left="4705" w:hanging="284"/>
      </w:pPr>
      <w:rPr/>
    </w:lvl>
    <w:lvl w:ilvl="5">
      <w:start w:val="0"/>
      <w:numFmt w:val="bullet"/>
      <w:lvlText w:val="•"/>
      <w:lvlJc w:val="left"/>
      <w:pPr>
        <w:ind w:left="5637" w:hanging="283.9999999999982"/>
      </w:pPr>
      <w:rPr/>
    </w:lvl>
    <w:lvl w:ilvl="6">
      <w:start w:val="0"/>
      <w:numFmt w:val="bullet"/>
      <w:lvlText w:val="•"/>
      <w:lvlJc w:val="left"/>
      <w:pPr>
        <w:ind w:left="6570" w:hanging="284"/>
      </w:pPr>
      <w:rPr/>
    </w:lvl>
    <w:lvl w:ilvl="7">
      <w:start w:val="0"/>
      <w:numFmt w:val="bullet"/>
      <w:lvlText w:val="•"/>
      <w:lvlJc w:val="left"/>
      <w:pPr>
        <w:ind w:left="7502" w:hanging="283.9999999999982"/>
      </w:pPr>
      <w:rPr/>
    </w:lvl>
    <w:lvl w:ilvl="8">
      <w:start w:val="0"/>
      <w:numFmt w:val="bullet"/>
      <w:lvlText w:val="•"/>
      <w:lvlJc w:val="left"/>
      <w:pPr>
        <w:ind w:left="8435" w:hanging="284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995" w:hanging="295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5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864"/>
      <w:numFmt w:val="bullet"/>
      <w:lvlText w:val="●"/>
      <w:lvlJc w:val="left"/>
      <w:pPr>
        <w:ind w:left="198" w:hanging="198"/>
      </w:pPr>
      <w:rPr>
        <w:rFonts w:ascii="Noto Sans Symbols" w:cs="Noto Sans Symbols" w:eastAsia="Noto Sans Symbols" w:hAnsi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731" w:hanging="360.0000000000001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2916" w:right="2921"/>
      <w:jc w:val="center"/>
    </w:pPr>
    <w:rPr>
      <w:b w:val="1"/>
      <w:sz w:val="19"/>
      <w:szCs w:val="19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2916" w:right="2921"/>
      <w:jc w:val="center"/>
    </w:pPr>
    <w:rPr>
      <w:b w:val="1"/>
      <w:sz w:val="19"/>
      <w:szCs w:val="19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36FF4"/>
    <w:rPr>
      <w:rFonts w:ascii="Calibri" w:cs="Calibri" w:hAnsi="Calibri" w:eastAsiaTheme="minorEastAsia"/>
      <w:lang w:eastAsia="it-IT" w:val="en-US"/>
    </w:rPr>
  </w:style>
  <w:style w:type="paragraph" w:styleId="Titolo1">
    <w:name w:val="heading 1"/>
    <w:basedOn w:val="Normale"/>
    <w:link w:val="Titolo1Carattere"/>
    <w:uiPriority w:val="9"/>
    <w:qFormat w:val="1"/>
    <w:rsid w:val="00336FF4"/>
    <w:pPr>
      <w:widowControl w:val="0"/>
      <w:autoSpaceDE w:val="0"/>
      <w:autoSpaceDN w:val="0"/>
      <w:ind w:left="2916" w:right="2921"/>
      <w:jc w:val="center"/>
      <w:outlineLvl w:val="0"/>
    </w:pPr>
    <w:rPr>
      <w:rFonts w:eastAsia="Calibri"/>
      <w:b w:val="1"/>
      <w:bCs w:val="1"/>
      <w:sz w:val="19"/>
      <w:szCs w:val="19"/>
      <w:lang w:eastAsia="en-US"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336FF4"/>
    <w:rPr>
      <w:rFonts w:ascii="Calibri" w:cs="Calibri" w:eastAsia="Calibri" w:hAnsi="Calibri"/>
      <w:b w:val="1"/>
      <w:bCs w:val="1"/>
      <w:sz w:val="19"/>
      <w:szCs w:val="19"/>
    </w:rPr>
  </w:style>
  <w:style w:type="paragraph" w:styleId="Corpotesto">
    <w:name w:val="Body Text"/>
    <w:basedOn w:val="Normale"/>
    <w:link w:val="CorpotestoCarattere"/>
    <w:uiPriority w:val="1"/>
    <w:qFormat w:val="1"/>
    <w:rsid w:val="00336FF4"/>
    <w:pPr>
      <w:widowControl w:val="0"/>
      <w:autoSpaceDE w:val="0"/>
      <w:autoSpaceDN w:val="0"/>
    </w:pPr>
    <w:rPr>
      <w:rFonts w:eastAsia="Calibri"/>
      <w:sz w:val="19"/>
      <w:szCs w:val="19"/>
      <w:lang w:eastAsia="en-US" w:val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336FF4"/>
    <w:rPr>
      <w:rFonts w:ascii="Calibri" w:cs="Calibri" w:eastAsia="Calibri" w:hAnsi="Calibri"/>
      <w:sz w:val="19"/>
      <w:szCs w:val="19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336FF4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336FF4"/>
    <w:rPr>
      <w:rFonts w:ascii="Calibri" w:cs="Calibri" w:hAnsi="Calibri" w:eastAsiaTheme="minorEastAsia"/>
      <w:sz w:val="20"/>
      <w:szCs w:val="20"/>
      <w:lang w:eastAsia="it-IT" w:val="en-US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336FF4"/>
    <w:rPr>
      <w:vertAlign w:val="superscript"/>
    </w:rPr>
  </w:style>
  <w:style w:type="paragraph" w:styleId="Paragrafoelenco">
    <w:name w:val="List Paragraph"/>
    <w:basedOn w:val="Normale"/>
    <w:uiPriority w:val="1"/>
    <w:qFormat w:val="1"/>
    <w:rsid w:val="00336FF4"/>
    <w:pPr>
      <w:widowControl w:val="0"/>
      <w:autoSpaceDE w:val="0"/>
      <w:autoSpaceDN w:val="0"/>
      <w:ind w:left="401" w:hanging="284"/>
      <w:jc w:val="both"/>
    </w:pPr>
    <w:rPr>
      <w:rFonts w:eastAsia="Calibri"/>
      <w:sz w:val="22"/>
      <w:szCs w:val="22"/>
      <w:lang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heZUkcO2GP/ojItl111YSvyjg==">CgMxLjAaMAoBMBIrCikIB0IlChFRdWF0dHJvY2VudG8gU2FucxIQQXJpYWwgVW5pY29kZSBNUxowCgExEisKKQgHQiUKEVF1YXR0cm9jZW50byBTYW5zEhBBcmlhbCBVbmljb2RlIE1TGjAKATISKwopCAdCJQoRUXVhdHRyb2NlbnRvIFNhbnMSEEFyaWFsIFVuaWNvZGUgTVM4AHIhMUFWTDZiUGhES3NoUmdUS2ViUWJhZ05ZaHBxekVfYUtj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2023-08-29T14:42:00Z</dcterms:created>
  <dc:creator>Stella Petrucci</dc:creator>
</cp:coreProperties>
</file>